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58DA" w:rsidP="00982696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ЭКСПЕРТНОЕ  ЗАКЛЮЧЕНИЕ</w:t>
      </w:r>
    </w:p>
    <w:p w:rsidR="00000000" w:rsidRDefault="000058DA" w:rsidP="00982696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РАБОЧЕЙ  ГРУППЫ  ОБЩЕСТВЕННОЙ ЭКОЛОГИЧЕСКОЙ ЭКСПЕРТИЗЫ</w:t>
      </w:r>
    </w:p>
    <w:p w:rsidR="00000000" w:rsidRDefault="000058DA" w:rsidP="00982696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ПРОЕКТНОЙ ДОКУМЕНТАЦИИ   СТРОИТЕЛЬСТВА  ЗАВОДА ПО ТЕРМИЧЕСКОМУ ОБЕЗВРЕЖИВАНИЮ ТВЕРДЫХ КОММУНАЛЬНЫХ ОТХОДОВ МОЩНОСТЬЮ 700 ТЫСЯЧ ТОНН ТКО  В ГОД</w:t>
      </w:r>
    </w:p>
    <w:p w:rsidR="00000000" w:rsidRDefault="000058DA" w:rsidP="00982696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(РОССИЯ, МОСКОВСКАЯ ОБЛАСТЬ)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Экспертная   комиссия  Рабочей  группы   экологической   экспертизы  Общероссийского   Гражданского  форума в  составе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Мазурин Игорь Михайлович – доктор тех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нических наук, профессор, г. Москва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Сосновцев Валерий Витальевич – кандидат физико-математи</w:t>
      </w:r>
      <w:r>
        <w:rPr>
          <w:rFonts w:ascii="Times New Roman" w:hAnsi="Times New Roman"/>
          <w:sz w:val="24"/>
          <w:szCs w:val="24"/>
        </w:rPr>
        <w:t>ческих  наук, доцент,    г. Москва,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Ямщикова  Валентина  Николаевна -  инженер-гидрогеолог,   г. Кострома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Порохов Максим  Алексеевич, специалист   по  информационным  технологиям,   г.    Москва;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Бабичева   Анна  Сергеевна -  инженер-химик-технолог</w:t>
      </w:r>
      <w:r>
        <w:rPr>
          <w:rFonts w:ascii="Times New Roman" w:hAnsi="Times New Roman"/>
          <w:sz w:val="24"/>
          <w:szCs w:val="24"/>
        </w:rPr>
        <w:t>. г. Москва.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="0098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Гарапов   Альберт  Фаритович  -  инженер-физик, академик Международной     общественной   Академии экологической    безопасности и природопользования.  г. Казань </w:t>
      </w:r>
    </w:p>
    <w:p w:rsidR="00000000" w:rsidRDefault="000058DA">
      <w:pPr>
        <w:pStyle w:val="A5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провела экологическую экспертизу проектной документации завода по те</w:t>
      </w:r>
      <w:r>
        <w:rPr>
          <w:rFonts w:ascii="Times New Roman" w:hAnsi="Times New Roman"/>
          <w:sz w:val="24"/>
          <w:szCs w:val="24"/>
        </w:rPr>
        <w:t>рмическому обезвреживанию твердых коммунальных отходов  мощностью 700 тысяч тонн ТКО в год (Россия, Московская область) [1]. Ниже представлены Заключение, Выводы и Предложения.</w:t>
      </w:r>
    </w:p>
    <w:p w:rsidR="00000000" w:rsidRDefault="000058DA">
      <w:pPr>
        <w:pStyle w:val="A5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000000" w:rsidRDefault="000058DA">
      <w:pPr>
        <w:pStyle w:val="A5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Каждый год в регионе Москва+МО образуется около 12 млн. тонн твердых </w:t>
      </w:r>
      <w:r>
        <w:rPr>
          <w:rFonts w:ascii="Times New Roman" w:hAnsi="Times New Roman"/>
          <w:kern w:val="2"/>
          <w:sz w:val="24"/>
          <w:szCs w:val="24"/>
        </w:rPr>
        <w:t xml:space="preserve">коммунальных отходов (ТКО). Известно, что более 90% мусора в России утилизируется  на т.н. полигонах, которые в реальной действительности являются необорудованными свалками.  </w:t>
      </w:r>
      <w:r>
        <w:rPr>
          <w:rFonts w:ascii="Times New Roman" w:hAnsi="Times New Roman"/>
          <w:color w:val="252628"/>
          <w:sz w:val="24"/>
          <w:szCs w:val="24"/>
          <w:u w:color="252628"/>
        </w:rPr>
        <w:t>В рамках Петербургского экономического форума в 2015 г. между Правительством Моск</w:t>
      </w:r>
      <w:r>
        <w:rPr>
          <w:rFonts w:ascii="Times New Roman" w:hAnsi="Times New Roman"/>
          <w:color w:val="252628"/>
          <w:sz w:val="24"/>
          <w:szCs w:val="24"/>
          <w:u w:color="252628"/>
        </w:rPr>
        <w:t xml:space="preserve">овской области, госкорпорацией «Ростех» и японской компанией </w:t>
      </w:r>
      <w:r>
        <w:rPr>
          <w:rFonts w:ascii="Times New Roman" w:hAnsi="Times New Roman"/>
          <w:color w:val="252628"/>
          <w:sz w:val="24"/>
          <w:szCs w:val="24"/>
          <w:u w:color="252628"/>
          <w:lang w:val="de-DE"/>
        </w:rPr>
        <w:t xml:space="preserve">Hitachi Zosen Inova </w:t>
      </w:r>
      <w:r>
        <w:rPr>
          <w:rFonts w:ascii="Times New Roman" w:hAnsi="Times New Roman"/>
          <w:color w:val="252628"/>
          <w:sz w:val="24"/>
          <w:szCs w:val="24"/>
          <w:u w:color="252628"/>
        </w:rPr>
        <w:t xml:space="preserve">было подписано трехстороннее соглашение о строительстве 15 мусоросжигательных заводов, </w:t>
      </w:r>
      <w:r>
        <w:rPr>
          <w:rFonts w:ascii="Times New Roman" w:hAnsi="Times New Roman"/>
          <w:kern w:val="2"/>
          <w:sz w:val="24"/>
          <w:szCs w:val="24"/>
        </w:rPr>
        <w:t>которые должны «утилизировать» – сжигать ВСЕ вновь образующиеся в регионе Москва+МО ТКО.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Строительство четырех пилотных заводов вошло в Федеральный проект «Чистая страна», предусматривающий при сжигании ТКО также генерацию электроэнергии в количестве около 75 МВт на каждый МСЗ. Стоимость строительства указанных 4 пилотных МСЗ – около 150 мл</w:t>
      </w:r>
      <w:r>
        <w:rPr>
          <w:rFonts w:ascii="Times New Roman" w:hAnsi="Times New Roman"/>
          <w:kern w:val="2"/>
          <w:sz w:val="24"/>
          <w:szCs w:val="24"/>
        </w:rPr>
        <w:t xml:space="preserve">рд. руб.  Строительство и эксплуатацию </w:t>
      </w:r>
      <w:r>
        <w:rPr>
          <w:rFonts w:ascii="Times New Roman" w:hAnsi="Times New Roman"/>
          <w:color w:val="FF0000"/>
          <w:kern w:val="2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указанных производств должна будет проводить частная компания ООО «Альтернативная генерирующая компания-1» (далее – ООО «АГК-1»), являющаяся дочерней компанией РТ «ИНВЕСТ» («Ростех»). Предполагается, что финансирован</w:t>
      </w:r>
      <w:r>
        <w:rPr>
          <w:rFonts w:ascii="Times New Roman" w:hAnsi="Times New Roman"/>
          <w:kern w:val="2"/>
          <w:sz w:val="24"/>
          <w:szCs w:val="24"/>
        </w:rPr>
        <w:t>ие указанного строительства будет проводиться следующим образом: 20% средств будет вложено ООО «РТ-Инвест», под остальные 80% средств будут взяты кредиты в российских банках. Возврат кредитов и процентов по ним будет проведен за счет повышения тарифов на у</w:t>
      </w:r>
      <w:r>
        <w:rPr>
          <w:rFonts w:ascii="Times New Roman" w:hAnsi="Times New Roman"/>
          <w:kern w:val="2"/>
          <w:sz w:val="24"/>
          <w:szCs w:val="24"/>
        </w:rPr>
        <w:t xml:space="preserve">тилизацию  ТКО для жителей региона Москва+ МО.  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Выписка из ЕГРЮЛ: ООО АГК-1:</w:t>
      </w:r>
      <w:r>
        <w:rPr>
          <w:rFonts w:ascii="Times New Roman" w:hAnsi="Times New Roman"/>
          <w:color w:val="7D1D18"/>
          <w:sz w:val="24"/>
          <w:szCs w:val="24"/>
          <w:u w:color="7D1D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ИНН / КПП: </w:t>
      </w:r>
      <w:r>
        <w:rPr>
          <w:rFonts w:ascii="Times New Roman" w:hAnsi="Times New Roman"/>
          <w:sz w:val="24"/>
          <w:szCs w:val="24"/>
        </w:rPr>
        <w:t xml:space="preserve">9705068572 / 770501001, </w:t>
      </w:r>
      <w:r>
        <w:rPr>
          <w:rFonts w:ascii="Times New Roman" w:hAnsi="Times New Roman"/>
          <w:sz w:val="24"/>
          <w:szCs w:val="24"/>
        </w:rPr>
        <w:t>уставной капитал – 1 млн.руб., численность персонала – 15 чел., основной вид деятельности – производство электроэнергии. Опыт строительства и э</w:t>
      </w:r>
      <w:r>
        <w:rPr>
          <w:rFonts w:ascii="Times New Roman" w:hAnsi="Times New Roman"/>
          <w:sz w:val="24"/>
          <w:szCs w:val="24"/>
        </w:rPr>
        <w:t xml:space="preserve">ксплуатации МСЗ мощностью 700 тыс. тонн ТКО в год, которые являются производствами 1-го класса опасности у </w:t>
      </w:r>
      <w:r>
        <w:rPr>
          <w:rFonts w:ascii="Times New Roman" w:hAnsi="Times New Roman"/>
          <w:kern w:val="2"/>
          <w:sz w:val="24"/>
          <w:szCs w:val="24"/>
        </w:rPr>
        <w:t>ООО АГК-1</w:t>
      </w:r>
      <w:r>
        <w:rPr>
          <w:rFonts w:ascii="Times New Roman" w:hAnsi="Times New Roman"/>
          <w:sz w:val="24"/>
          <w:szCs w:val="24"/>
        </w:rPr>
        <w:t xml:space="preserve"> отсутствует. 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000000" w:rsidRDefault="000058DA">
      <w:pPr>
        <w:pStyle w:val="A5"/>
        <w:pBdr>
          <w:bottom w:val="single" w:sz="8" w:space="0" w:color="FFFFFF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представленных документах отсутствуют следующие данные, необходимые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для полномасштабного экспертного закл</w:t>
      </w:r>
      <w:r>
        <w:rPr>
          <w:rFonts w:ascii="Times New Roman" w:hAnsi="Times New Roman"/>
          <w:sz w:val="24"/>
          <w:szCs w:val="24"/>
          <w:shd w:val="clear" w:color="auto" w:fill="FFFFFF"/>
        </w:rPr>
        <w:t>ючения,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 Материальный и тепловой баланс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отсутствуют материальные балансы: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представлены лишь общие расходные данные, а по этапам процесса их нет.  Данные по расходу реагентов не привязаны к месту в технологическом процессе. По газовым потока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 представлены общие расходы дымовых газов в соответствие с данными поставщика инжиниринговых услуг только для теплотворной способности ТКО около 9 МДж/кг [2],  балансы по основным атмосферным газам  (азот, кислород и СО2) вообще отсутствуют,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отсутствую</w:t>
      </w:r>
      <w:r>
        <w:rPr>
          <w:rFonts w:ascii="Times New Roman" w:hAnsi="Times New Roman"/>
          <w:sz w:val="24"/>
          <w:szCs w:val="24"/>
          <w:shd w:val="clear" w:color="auto" w:fill="FFFFFF"/>
        </w:rPr>
        <w:t>т тепловые балансы: нет связи между расходом природного газа и КПД цикла генерации электроэнергии. Поэтому реклама о генерации 75 МВт электрической мощности не обоснована при тех условиях, которые заявлены [3].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 Технологии утилизации ТКО проекта:</w:t>
      </w:r>
    </w:p>
    <w:p w:rsidR="00000000" w:rsidRDefault="000058DA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отс</w:t>
      </w:r>
      <w:r>
        <w:rPr>
          <w:rFonts w:ascii="Times New Roman" w:hAnsi="Times New Roman"/>
          <w:sz w:val="24"/>
          <w:szCs w:val="24"/>
          <w:shd w:val="clear" w:color="auto" w:fill="FFFFFF"/>
        </w:rPr>
        <w:t>утствуют необходимые в проекте  обоснования концентраций вредных веществ, выбрасываемых в атмосферу после очистки дымовых газов. Ссылки на</w:t>
      </w:r>
      <w:r>
        <w:rPr>
          <w:rFonts w:ascii="Times New Roman" w:hAnsi="Times New Roman"/>
          <w:sz w:val="24"/>
          <w:szCs w:val="24"/>
        </w:rPr>
        <w:t xml:space="preserve">  данные  фирмы-поставщика инжиниринговых услуг, а именно, швейцарско-японской фирмы </w:t>
      </w:r>
      <w:r>
        <w:rPr>
          <w:rFonts w:ascii="Times New Roman" w:hAnsi="Times New Roman"/>
          <w:sz w:val="24"/>
          <w:szCs w:val="24"/>
          <w:lang w:val="en-US"/>
        </w:rPr>
        <w:t>Hitachi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Zosen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Inova</w:t>
      </w:r>
      <w:r>
        <w:rPr>
          <w:rFonts w:ascii="Times New Roman" w:hAnsi="Times New Roman"/>
          <w:sz w:val="24"/>
          <w:szCs w:val="24"/>
        </w:rPr>
        <w:t xml:space="preserve">  недопустимы.</w:t>
      </w:r>
      <w:r>
        <w:rPr>
          <w:rFonts w:ascii="Times New Roman" w:hAnsi="Times New Roman"/>
          <w:sz w:val="24"/>
          <w:szCs w:val="24"/>
        </w:rPr>
        <w:t xml:space="preserve"> Представленное в проектной документации описание технологии поставщика инжиниринговых </w:t>
      </w:r>
      <w:r>
        <w:rPr>
          <w:rFonts w:ascii="Times New Roman" w:hAnsi="Times New Roman"/>
          <w:sz w:val="24"/>
          <w:szCs w:val="24"/>
          <w:lang w:val="en-US"/>
        </w:rPr>
        <w:t>HZI</w:t>
      </w:r>
      <w:r>
        <w:rPr>
          <w:rFonts w:ascii="Times New Roman" w:hAnsi="Times New Roman"/>
          <w:sz w:val="24"/>
          <w:szCs w:val="24"/>
        </w:rPr>
        <w:t xml:space="preserve"> услуг касается ТКО с теплотворной способностью около 9 МДж/кг и поэтому отсутствуют дополнительные источники образования тепла. Однако, в самом проекте при описании </w:t>
      </w:r>
      <w:r>
        <w:rPr>
          <w:rFonts w:ascii="Times New Roman" w:hAnsi="Times New Roman"/>
          <w:sz w:val="24"/>
          <w:szCs w:val="24"/>
        </w:rPr>
        <w:t xml:space="preserve"> технологии сжигания ТКО на планируемом в МО МСЗ уже появляется требование о наличии дополнительного источника тепла в виде сжигания природного газа   в количестве до 14 тысяч нм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/час, что свидетельствует о существенных различиях как в морфологическом сост</w:t>
      </w:r>
      <w:r>
        <w:rPr>
          <w:rFonts w:ascii="Times New Roman" w:hAnsi="Times New Roman"/>
          <w:sz w:val="24"/>
          <w:szCs w:val="24"/>
        </w:rPr>
        <w:t>аве ТКО  в России и Швейцарии, так и во влажности поступающего на сжигание ТКО. В Швейцарии, в отличие от России, уже более 10 лет существует раздельный сбор мусора, а существующие МСЗ «привязаны» к местам образования ТКО, что в определенной степени гарант</w:t>
      </w:r>
      <w:r>
        <w:rPr>
          <w:rFonts w:ascii="Times New Roman" w:hAnsi="Times New Roman"/>
          <w:sz w:val="24"/>
          <w:szCs w:val="24"/>
        </w:rPr>
        <w:t>ирует постоянство состава и влажности ТКО. На отличия морфологического  состава указывают отмеченные в самом проекте [1] изменения от 6 до 12 МДж/кг в теплотворной способности российских ТКО , а также то, что доля шлака по весу от  всего поступающего ТКО д</w:t>
      </w:r>
      <w:r>
        <w:rPr>
          <w:rFonts w:ascii="Times New Roman" w:hAnsi="Times New Roman"/>
          <w:sz w:val="24"/>
          <w:szCs w:val="24"/>
        </w:rPr>
        <w:t xml:space="preserve">ля МСЗ в МО  будет составлять  38%  в отличие от соответствующей величины на МСЗ </w:t>
      </w:r>
      <w:r>
        <w:rPr>
          <w:rFonts w:ascii="Times New Roman" w:hAnsi="Times New Roman"/>
          <w:sz w:val="24"/>
          <w:szCs w:val="24"/>
          <w:lang w:val="en-US"/>
        </w:rPr>
        <w:t>HZI</w:t>
      </w:r>
      <w:r>
        <w:rPr>
          <w:rFonts w:ascii="Times New Roman" w:hAnsi="Times New Roman"/>
          <w:sz w:val="24"/>
          <w:szCs w:val="24"/>
        </w:rPr>
        <w:t>,  составляющей около 18%.</w:t>
      </w:r>
    </w:p>
    <w:p w:rsidR="00000000" w:rsidRDefault="000058DA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3.Экология проекта: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</w:p>
    <w:p w:rsidR="00000000" w:rsidRDefault="000058D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- отсутствуют данные по расчётной площади шлейфа загрязнения почвы и вида распределения ядовитых примесей в почве д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предельных значений, в соответствии с действующими нормативами. Нет данных по привязке габаритов шлейфа к землям сельхозугодий, землям населённых пунктов и землям дачных поселков, садоводческих товариществ и прочих структур, выращивающих продукты земледе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лия и имеющих теплокровных домашних животных. </w:t>
      </w:r>
    </w:p>
    <w:p w:rsidR="00000000" w:rsidRDefault="000058DA">
      <w:pPr>
        <w:pStyle w:val="ListParagraph"/>
        <w:spacing w:after="0" w:line="240" w:lineRule="auto"/>
        <w:ind w:left="0" w:firstLine="708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r>
        <w:rPr>
          <w:rFonts w:ascii="Times New Roman" w:hAnsi="Times New Roman"/>
          <w:kern w:val="2"/>
          <w:sz w:val="24"/>
          <w:szCs w:val="24"/>
        </w:rPr>
        <w:t>отсутствует методика мониторинга окружающей среды по диоксинам и фуранам,</w:t>
      </w:r>
    </w:p>
    <w:p w:rsidR="00000000" w:rsidRDefault="000058DA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по окислам азота, по ароматическим углеводородам. Не представлены данные по аналитическому оборудованию, количеству анализов в год и</w:t>
      </w:r>
      <w:r>
        <w:rPr>
          <w:rFonts w:ascii="Times New Roman" w:hAnsi="Times New Roman"/>
          <w:kern w:val="2"/>
          <w:sz w:val="24"/>
          <w:szCs w:val="24"/>
        </w:rPr>
        <w:t xml:space="preserve"> необходимых приборах и  штате аналитиков.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рукавные фильтры не обеспечивают  необходимой эффективности в отношении субмикронной пыли, которая в значительной мере является транспортёром диоксинов [4]. 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Эксплуатация МСЗ: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ab/>
        <w:t xml:space="preserve">  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предлагаемая мощность МСЗ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для МО 700 тыс. тонн ТКО/год ничем не обоснована,</w:t>
      </w:r>
    </w:p>
    <w:p w:rsidR="00000000" w:rsidRDefault="000058DA">
      <w:pPr>
        <w:pStyle w:val="A5"/>
        <w:spacing w:after="0" w:line="240" w:lineRule="auto"/>
        <w:ind w:firstLine="34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- отсутствуют </w:t>
      </w:r>
      <w:r>
        <w:rPr>
          <w:rFonts w:ascii="Times New Roman" w:hAnsi="Times New Roman"/>
          <w:kern w:val="2"/>
          <w:sz w:val="24"/>
          <w:szCs w:val="24"/>
        </w:rPr>
        <w:t xml:space="preserve">обоснования использования тепла отходящих газов  в цикле генерации электроэнергии, отсутствуют  описание цикла, оборудования,  ресурса оборудования,  российских аналогов для замены при </w:t>
      </w:r>
      <w:r>
        <w:rPr>
          <w:rFonts w:ascii="Times New Roman" w:hAnsi="Times New Roman"/>
          <w:kern w:val="2"/>
          <w:sz w:val="24"/>
          <w:szCs w:val="24"/>
        </w:rPr>
        <w:t>ремонтах, а также расчёта себестоимости 1 кВт электроэнергии.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00000" w:rsidRDefault="000058DA">
      <w:pPr>
        <w:pStyle w:val="A5"/>
        <w:spacing w:after="0" w:line="240" w:lineRule="auto"/>
        <w:ind w:firstLine="34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-</w:t>
      </w:r>
      <w:r>
        <w:rPr>
          <w:rFonts w:ascii="Times New Roman" w:hAnsi="Times New Roman"/>
          <w:sz w:val="24"/>
          <w:szCs w:val="24"/>
          <w:shd w:val="clear" w:color="auto" w:fill="FFFFFF"/>
        </w:rPr>
        <w:t> отсутствуют полные данные по расходным материалам, в том числе по маркам активированного угля, извести,  заменяемым комплектующим - цене, российским аналогам и условиям приобретения у изгот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овителя. </w:t>
      </w:r>
      <w:r>
        <w:rPr>
          <w:rFonts w:ascii="Times New Roman" w:hAnsi="Times New Roman"/>
          <w:sz w:val="24"/>
          <w:szCs w:val="24"/>
        </w:rPr>
        <w:t>Не определено место складирования и методы утилизации израсходованных реагентов.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- отсутствуют данные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  гарантиям поставки в процессе эксплуатации, сервисному обслуживанию и возможности или необходимости подготовки специалистов -эк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сплуатационников на предприятии-изготовителе завода, что принципиально необходимо для выполнения сложных технологических процессов.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представленные данные по программным расчетам концентраций вредных веществ (ВВ) [5]  демонстрируют, что на территории МСЗ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концентрация окислов азота будет превышать соответствующий российский норматив по ПДК, что является угрозой здоровью для работников проектируемого МСЗ.   </w:t>
      </w:r>
    </w:p>
    <w:p w:rsidR="00000000" w:rsidRDefault="000058DA">
      <w:pPr>
        <w:pStyle w:val="A5"/>
        <w:tabs>
          <w:tab w:val="left" w:pos="1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- является обманом предложение о транспортировке получаемых отходов работы МСЗ (шлак 4-го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класса опасности и зола 3-го класса опасности, всего в количестве около 260 тыс. тонн ежегодно от каждого МСЗ в МО) на специализированный полигон в г. Томск на расстояние более 3 тыс. километров от Москвы, </w:t>
      </w:r>
      <w:r>
        <w:rPr>
          <w:rFonts w:ascii="Times New Roman" w:hAnsi="Times New Roman"/>
          <w:sz w:val="24"/>
          <w:szCs w:val="24"/>
        </w:rPr>
        <w:t xml:space="preserve"> так как максимальная остаточная емкость указанног</w:t>
      </w:r>
      <w:r>
        <w:rPr>
          <w:rFonts w:ascii="Times New Roman" w:hAnsi="Times New Roman"/>
          <w:sz w:val="24"/>
          <w:szCs w:val="24"/>
        </w:rPr>
        <w:t>о полигона площадью 37 га составляет всего около 700 тыс. тонн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[6].  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не представлены данные по расчетам изменения состава атмосферного воздуха в районе расположения предлагаемых МСЗ, связанного с выводом из окружающей атмосферы около 1 км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кислорода/го</w:t>
      </w:r>
      <w:r>
        <w:rPr>
          <w:rFonts w:ascii="Times New Roman" w:hAnsi="Times New Roman"/>
          <w:sz w:val="24"/>
          <w:szCs w:val="24"/>
        </w:rPr>
        <w:t>д, необходимого для  сжигания 700 тысяч тонн ТКО в год  и  природного газа в количестве до 14 тыс. нм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/час  или до 122 млн. нм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/год.  Не представлены соответствующие расчеты, связанные с выбросами углекислого газа составляющими около 1,5  млн. тонн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в год.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предлагаемое к рассмотрению предприятие является «опасным производственным объектом» и в соответствии с федеральным законом от 21.07.1997 N 116-ФЗ (ред. От 07.03.2017) проектная документация должна содержат проектную Декларацию промышленной безопасности </w:t>
      </w:r>
      <w:r>
        <w:rPr>
          <w:rFonts w:ascii="Times New Roman" w:hAnsi="Times New Roman"/>
          <w:sz w:val="24"/>
          <w:szCs w:val="24"/>
        </w:rPr>
        <w:t>и паспорт безопасности, которые по своему составу и содержанию прояснили бы многие вопросы, однако такие документы не представлены.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Отсутствует полноценный  технико – экономический анализ альтернативных путей </w:t>
      </w:r>
      <w:r>
        <w:rPr>
          <w:rFonts w:ascii="Times New Roman" w:hAnsi="Times New Roman"/>
          <w:sz w:val="24"/>
          <w:szCs w:val="24"/>
        </w:rPr>
        <w:t>обезвреживания ТКО.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Представленный в проект</w:t>
      </w:r>
      <w:r>
        <w:rPr>
          <w:rFonts w:ascii="Times New Roman" w:hAnsi="Times New Roman"/>
          <w:sz w:val="24"/>
          <w:szCs w:val="24"/>
        </w:rPr>
        <w:t>е анализ ограничен только термическими технологиями, при этом сделан ошибочный вывод о преимуществах технологии сжигания ТКО на колосниковых решетках.  Это противоречит: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5.1 Заключению Совета при Президенте Российской Федерации по развитию гражданского общ</w:t>
      </w:r>
      <w:r>
        <w:rPr>
          <w:rFonts w:ascii="Times New Roman" w:hAnsi="Times New Roman"/>
          <w:sz w:val="24"/>
          <w:szCs w:val="24"/>
        </w:rPr>
        <w:t>ества и правам человека [7]: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«Данный способ обращения с отходами имеет существенные недостатки: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выработка токсичных золы и шлака, которые требуют особых условий при последующем захоронении;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высокая стоимость и сложность в привлечении финансирования для</w:t>
      </w:r>
      <w:r>
        <w:rPr>
          <w:rFonts w:ascii="Times New Roman" w:hAnsi="Times New Roman"/>
          <w:sz w:val="24"/>
          <w:szCs w:val="24"/>
        </w:rPr>
        <w:t xml:space="preserve"> строительства и поддержки деятельности МСЗ на муниципальном и региональном уровне. Согласно данным ряда экспертов затраты на сжигание 1 кубометра отходов (при снижении объемов ТКО до 10% от первоначальных) на 50% превышают затраты на переработку смешанных</w:t>
      </w:r>
      <w:r>
        <w:rPr>
          <w:rFonts w:ascii="Times New Roman" w:hAnsi="Times New Roman"/>
          <w:sz w:val="24"/>
          <w:szCs w:val="24"/>
        </w:rPr>
        <w:t xml:space="preserve"> отходов и примерно на 600% – раздельно собранных отходов, что свидетельствует о низкой экономической эффективности данного метода».</w:t>
      </w:r>
    </w:p>
    <w:p w:rsidR="00000000" w:rsidRDefault="000058DA">
      <w:pPr>
        <w:pStyle w:val="NormalWeb"/>
        <w:spacing w:after="0"/>
        <w:ind w:firstLine="708"/>
        <w:rPr>
          <w:kern w:val="2"/>
          <w:sz w:val="28"/>
          <w:szCs w:val="28"/>
        </w:rPr>
      </w:pPr>
      <w:r>
        <w:lastRenderedPageBreak/>
        <w:t xml:space="preserve">5.2 Сжигание ТКО  противоречит  </w:t>
      </w:r>
      <w:r>
        <w:rPr>
          <w:kern w:val="2"/>
        </w:rPr>
        <w:t>опыту цивилизованных государств</w:t>
      </w:r>
      <w:r>
        <w:rPr>
          <w:kern w:val="2"/>
        </w:rPr>
        <w:t>, где в настоящее время законодательно уходят от сжигания му</w:t>
      </w:r>
      <w:r>
        <w:rPr>
          <w:kern w:val="2"/>
        </w:rPr>
        <w:t xml:space="preserve">сора и путем создания  </w:t>
      </w:r>
      <w:r>
        <w:rPr>
          <w:b/>
          <w:bCs/>
          <w:kern w:val="2"/>
        </w:rPr>
        <w:t>системы</w:t>
      </w:r>
      <w:r>
        <w:rPr>
          <w:kern w:val="2"/>
        </w:rPr>
        <w:t xml:space="preserve"> переработки мусора, включающей раздельный сбор, используют эффективные методы переработки ТКО с максимальным извлечением компонент для вторичного использования [8].</w:t>
      </w:r>
    </w:p>
    <w:p w:rsidR="00000000" w:rsidRDefault="000058DA">
      <w:pPr>
        <w:pStyle w:val="NormalWeb"/>
        <w:spacing w:after="0"/>
        <w:rPr>
          <w:kern w:val="2"/>
          <w:sz w:val="28"/>
          <w:szCs w:val="28"/>
        </w:rPr>
      </w:pPr>
      <w:r>
        <w:rPr>
          <w:kern w:val="2"/>
        </w:rPr>
        <w:t>6.  В нарушение Закона отсутствует анализ альтернативных мес</w:t>
      </w:r>
      <w:r>
        <w:rPr>
          <w:kern w:val="2"/>
        </w:rPr>
        <w:t xml:space="preserve">т размещения МСЗ. </w:t>
      </w:r>
    </w:p>
    <w:p w:rsidR="00000000" w:rsidRDefault="000058DA">
      <w:pPr>
        <w:pStyle w:val="NormalWeb"/>
        <w:spacing w:after="0"/>
        <w:rPr>
          <w:kern w:val="2"/>
          <w:sz w:val="28"/>
          <w:szCs w:val="28"/>
        </w:rPr>
      </w:pPr>
      <w:r>
        <w:rPr>
          <w:kern w:val="2"/>
        </w:rPr>
        <w:t xml:space="preserve">7. Являются нарушением в проектировании   санитарно-защитной зоны МСЗ попадание  около 20 участков СНТ «Движенец», обладающими свидетельствами о Государственной регистрации. 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Выводы</w:t>
      </w:r>
    </w:p>
    <w:p w:rsidR="00000000" w:rsidRDefault="000058DA">
      <w:pPr>
        <w:pStyle w:val="NormalWeb"/>
        <w:spacing w:after="0"/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По существу, под видом проекта представлен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неполны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й, недостоверный и непригодный к экспертизе </w:t>
      </w:r>
      <w:r>
        <w:rPr>
          <w:rFonts w:ascii="Times New Roman" w:hAnsi="Times New Roman"/>
          <w:sz w:val="24"/>
          <w:szCs w:val="24"/>
        </w:rPr>
        <w:t xml:space="preserve"> проект  тепловой электростанции (ТЭС), работающей на смешанном топливе (природный газ + ТКО), причем  доля последнего в тепловом балансе составляет около половины. Это приводит к следующим обстоятельствам:</w:t>
      </w:r>
    </w:p>
    <w:p w:rsidR="00000000" w:rsidRDefault="000058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КПД</w:t>
      </w:r>
      <w:r>
        <w:rPr>
          <w:rFonts w:ascii="Times New Roman" w:hAnsi="Times New Roman"/>
          <w:sz w:val="24"/>
          <w:szCs w:val="24"/>
        </w:rPr>
        <w:t xml:space="preserve"> такой ТЭС предельно низок и составляет около 20 %. До 200 МВт тепла, генерируемого такой ТЭС, уходит на обогрев окружающей среды. При этом экологические последствия такого «обогрева» в проекте не рассматриваются.</w:t>
      </w:r>
    </w:p>
    <w:p w:rsidR="00000000" w:rsidRDefault="000058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каждая такая ТЭС будет «забирать» из окр</w:t>
      </w:r>
      <w:r>
        <w:rPr>
          <w:rFonts w:ascii="Times New Roman" w:hAnsi="Times New Roman"/>
          <w:sz w:val="24"/>
          <w:szCs w:val="24"/>
        </w:rPr>
        <w:t>ужающей атмосферы около 1 км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кислорода в год, необходимого для сжигания 700 тыс. тонн ТКО. Экологические последствия этого в проекте не рассматриваются.   </w:t>
      </w:r>
    </w:p>
    <w:p w:rsidR="00000000" w:rsidRDefault="000058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каждая такая ТЭС будет являться источником выбросов около 1,5  млн. тонн в год углекислого газа. </w:t>
      </w:r>
      <w:r>
        <w:rPr>
          <w:rFonts w:ascii="Times New Roman" w:hAnsi="Times New Roman"/>
          <w:sz w:val="24"/>
          <w:szCs w:val="24"/>
        </w:rPr>
        <w:t xml:space="preserve">Экологические последствия такого выброса в проекте не рассматриваются.   </w:t>
      </w:r>
    </w:p>
    <w:p w:rsidR="00000000" w:rsidRDefault="000058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 себестоимость получаемой электроэнергии будет до 7 раз выше, чем на АЭС и до 16 раз выше, чем на обычных газовых ЭС. Необходимость в генерации такой дорогой электроэнергии являетс</w:t>
      </w:r>
      <w:r>
        <w:rPr>
          <w:rFonts w:ascii="Times New Roman" w:hAnsi="Times New Roman"/>
          <w:sz w:val="24"/>
          <w:szCs w:val="24"/>
        </w:rPr>
        <w:t xml:space="preserve">я более чем сомнительной с учетом энергоизбыточности московского региона, где профицит электроэнергии составляет более 20 ГВт [9]. </w:t>
      </w:r>
    </w:p>
    <w:p w:rsidR="00000000" w:rsidRDefault="000058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ListParagraph"/>
        <w:tabs>
          <w:tab w:val="left" w:pos="12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2. Технологический процесс в предлагаемом проекте не является окислительным процессом для ТКО. По представленным  соотноше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ниям топлива (ТКО и природный газ) и окислителя (воздух и кислород), а также заявленного времени нахождения ТБО в зоне высокой температуры (2 сек), речь идет о процессе генерации радикалов, образующихся из углеводородов ТКО при избытке вводимой энергии</w:t>
      </w:r>
      <w:r>
        <w:rPr>
          <w:rFonts w:ascii="Times New Roman" w:hAnsi="Times New Roman"/>
          <w:sz w:val="24"/>
          <w:szCs w:val="24"/>
        </w:rPr>
        <w:t>. Ук</w:t>
      </w:r>
      <w:r>
        <w:rPr>
          <w:rFonts w:ascii="Times New Roman" w:hAnsi="Times New Roman"/>
          <w:sz w:val="24"/>
          <w:szCs w:val="24"/>
        </w:rPr>
        <w:t xml:space="preserve">азанного времени явно недостаточно,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поэтому в избытке образуются радикалы, которые после высокотемпературной зоны попадают в зону рекомбинации с образованием новых соединений. При этом прогнозировать состав новообразованных соединений практически невозможн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о, поскольку состав исходного сырья, в соответствие с проектом, непостоянен и варьируется в широком диапазоне. </w:t>
      </w:r>
      <w:r>
        <w:rPr>
          <w:rFonts w:ascii="Times New Roman" w:hAnsi="Times New Roman"/>
          <w:sz w:val="24"/>
          <w:szCs w:val="24"/>
        </w:rPr>
        <w:t>Попытка улучшить процесс за счёт чрезмерного избытка воздуха и повышенной температуры не решает главную проблему — образование значительного коли</w:t>
      </w:r>
      <w:r>
        <w:rPr>
          <w:rFonts w:ascii="Times New Roman" w:hAnsi="Times New Roman"/>
          <w:sz w:val="24"/>
          <w:szCs w:val="24"/>
        </w:rPr>
        <w:t xml:space="preserve">чества диоксинов в потоке выбросных газов.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Неизбежным следствием процесса рекомбинации должна быть многоступенчатая и дорогостоящая система очистки  отходящих газов от опасных примесей. При этом бгарантии стабильного состава этих нежелательных примесей из-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 переменного состава исходного сырья (ТКО) и неуправляемого процесса рекомбинации. </w:t>
      </w:r>
      <w:r>
        <w:rPr>
          <w:rFonts w:ascii="Times New Roman" w:hAnsi="Times New Roman"/>
          <w:sz w:val="24"/>
          <w:szCs w:val="24"/>
        </w:rPr>
        <w:t xml:space="preserve">Однако, в проекте, в отличие от широко разрекламированных МСЗ фирмы </w:t>
      </w:r>
      <w:r>
        <w:rPr>
          <w:rFonts w:ascii="Times New Roman" w:hAnsi="Times New Roman"/>
          <w:sz w:val="24"/>
          <w:szCs w:val="24"/>
          <w:lang w:val="en-US"/>
        </w:rPr>
        <w:t>Hitachi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Zosen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Inova</w:t>
      </w:r>
      <w:r>
        <w:rPr>
          <w:rFonts w:ascii="Times New Roman" w:hAnsi="Times New Roman"/>
          <w:sz w:val="24"/>
          <w:szCs w:val="24"/>
        </w:rPr>
        <w:t xml:space="preserve">, реализующих 5-6 ступенчатые системы очистки, </w:t>
      </w:r>
      <w:r>
        <w:rPr>
          <w:rFonts w:ascii="Times New Roman" w:hAnsi="Times New Roman"/>
          <w:sz w:val="24"/>
          <w:szCs w:val="24"/>
        </w:rPr>
        <w:t>предлагается дешевая и примитивная тр</w:t>
      </w:r>
      <w:r>
        <w:rPr>
          <w:rFonts w:ascii="Times New Roman" w:hAnsi="Times New Roman"/>
          <w:sz w:val="24"/>
          <w:szCs w:val="24"/>
        </w:rPr>
        <w:t>ехступенчатая система очистки с упором на активированный уголь, что не обеспечивает необходимую очистку дымовых выбросов. Это и приводит, в соответствии только с расчетными данными, представленными в проекте,  к выбросам в воздух набора из 46 вредных вещес</w:t>
      </w:r>
      <w:r>
        <w:rPr>
          <w:rFonts w:ascii="Times New Roman" w:hAnsi="Times New Roman"/>
          <w:sz w:val="24"/>
          <w:szCs w:val="24"/>
        </w:rPr>
        <w:t xml:space="preserve">тв класса опасности от 3-го до 1-го в количестве около 2400 тонн в год, в том числе к выбросам </w:t>
      </w:r>
      <w:r>
        <w:rPr>
          <w:rFonts w:ascii="Times New Roman" w:hAnsi="Times New Roman"/>
          <w:sz w:val="24"/>
          <w:szCs w:val="24"/>
        </w:rPr>
        <w:lastRenderedPageBreak/>
        <w:t xml:space="preserve">около 2 тонн в год веществ 1-го класса опасности, которые являются аналогами  боевых отравляющих веществ. </w:t>
      </w:r>
    </w:p>
    <w:p w:rsidR="00000000" w:rsidRDefault="000058DA">
      <w:pPr>
        <w:pStyle w:val="ListParagraph"/>
        <w:tabs>
          <w:tab w:val="left" w:pos="12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Для сравнения:</w:t>
      </w:r>
    </w:p>
    <w:p w:rsidR="00000000" w:rsidRDefault="000058DA">
      <w:pPr>
        <w:pStyle w:val="ListParagraph"/>
        <w:tabs>
          <w:tab w:val="left" w:pos="1256"/>
        </w:tabs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только один </w:t>
      </w:r>
      <w:r>
        <w:rPr>
          <w:rFonts w:ascii="Times New Roman" w:hAnsi="Times New Roman"/>
          <w:kern w:val="2"/>
          <w:sz w:val="24"/>
          <w:szCs w:val="24"/>
        </w:rPr>
        <w:t>предлагаемый в п</w:t>
      </w:r>
      <w:r>
        <w:rPr>
          <w:rFonts w:ascii="Times New Roman" w:hAnsi="Times New Roman"/>
          <w:kern w:val="2"/>
          <w:sz w:val="24"/>
          <w:szCs w:val="24"/>
        </w:rPr>
        <w:t xml:space="preserve">роекте МСЗ  будет выбрасывать в воздух  вредных веществ столько, сколько их выбрасывают </w:t>
      </w:r>
      <w:r>
        <w:rPr>
          <w:rFonts w:ascii="Times New Roman" w:hAnsi="Times New Roman"/>
          <w:b/>
          <w:bCs/>
          <w:kern w:val="2"/>
          <w:sz w:val="24"/>
          <w:szCs w:val="24"/>
        </w:rPr>
        <w:t>все</w:t>
      </w:r>
      <w:r>
        <w:rPr>
          <w:rFonts w:ascii="Times New Roman" w:hAnsi="Times New Roman"/>
          <w:kern w:val="2"/>
          <w:sz w:val="24"/>
          <w:szCs w:val="24"/>
        </w:rPr>
        <w:t xml:space="preserve"> 31 работающие в   настоящее время   МСЗ Швейцарии, </w:t>
      </w:r>
    </w:p>
    <w:p w:rsidR="00000000" w:rsidRDefault="000058DA">
      <w:pPr>
        <w:pStyle w:val="ListParagraph"/>
        <w:tabs>
          <w:tab w:val="left" w:pos="1256"/>
        </w:tabs>
        <w:spacing w:after="0" w:line="240" w:lineRule="auto"/>
        <w:ind w:left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 xml:space="preserve">только один </w:t>
      </w:r>
      <w:r>
        <w:rPr>
          <w:rFonts w:ascii="Times New Roman" w:hAnsi="Times New Roman"/>
          <w:kern w:val="2"/>
          <w:sz w:val="24"/>
          <w:szCs w:val="24"/>
        </w:rPr>
        <w:t xml:space="preserve">предлагаемый в проекте МСЗ  будет выбрасывать в воздух   диоксинов - как </w:t>
      </w:r>
      <w:r>
        <w:rPr>
          <w:rFonts w:ascii="Times New Roman" w:hAnsi="Times New Roman"/>
          <w:b/>
          <w:bCs/>
          <w:kern w:val="2"/>
          <w:sz w:val="24"/>
          <w:szCs w:val="24"/>
        </w:rPr>
        <w:t>все</w:t>
      </w:r>
      <w:r>
        <w:rPr>
          <w:rFonts w:ascii="Times New Roman" w:hAnsi="Times New Roman"/>
          <w:kern w:val="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работающие в настоя</w:t>
      </w:r>
      <w:r>
        <w:rPr>
          <w:rFonts w:ascii="Times New Roman" w:hAnsi="Times New Roman"/>
          <w:sz w:val="24"/>
          <w:szCs w:val="24"/>
        </w:rPr>
        <w:t xml:space="preserve">щее время </w:t>
      </w:r>
      <w:r>
        <w:rPr>
          <w:rFonts w:ascii="Times New Roman" w:hAnsi="Times New Roman"/>
          <w:kern w:val="2"/>
          <w:sz w:val="24"/>
          <w:szCs w:val="24"/>
        </w:rPr>
        <w:t>МСЗ Германии.</w:t>
      </w:r>
    </w:p>
    <w:p w:rsidR="00000000" w:rsidRDefault="000058DA">
      <w:pPr>
        <w:pStyle w:val="ListParagraph"/>
        <w:tabs>
          <w:tab w:val="left" w:pos="125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- </w:t>
      </w:r>
      <w:r>
        <w:rPr>
          <w:rFonts w:ascii="Times New Roman" w:hAnsi="Times New Roman"/>
          <w:sz w:val="24"/>
          <w:szCs w:val="24"/>
        </w:rPr>
        <w:t xml:space="preserve">только один </w:t>
      </w:r>
      <w:r>
        <w:rPr>
          <w:rFonts w:ascii="Times New Roman" w:hAnsi="Times New Roman"/>
          <w:kern w:val="2"/>
          <w:sz w:val="24"/>
          <w:szCs w:val="24"/>
        </w:rPr>
        <w:t>предлагаемый в проекте МСЗ  будет выбрасывать в воздух   диоксинов</w:t>
      </w:r>
      <w:r>
        <w:rPr>
          <w:rFonts w:ascii="Times New Roman" w:hAnsi="Times New Roman"/>
          <w:sz w:val="24"/>
          <w:szCs w:val="24"/>
        </w:rPr>
        <w:t xml:space="preserve">  как </w:t>
      </w:r>
      <w:r>
        <w:rPr>
          <w:rFonts w:ascii="Times New Roman" w:hAnsi="Times New Roman"/>
          <w:b/>
          <w:bCs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77 работающие в настоящее время МСЗ США.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3. Функционирование предлагаемого МСЗ приведет к экологической катастрофе, связанной,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превышени</w:t>
      </w:r>
      <w:r>
        <w:rPr>
          <w:rFonts w:ascii="Times New Roman" w:hAnsi="Times New Roman"/>
          <w:sz w:val="24"/>
          <w:szCs w:val="24"/>
        </w:rPr>
        <w:t xml:space="preserve">ем содержания диоксинов более 5 нг/кг, согласно </w:t>
      </w:r>
      <w:r>
        <w:rPr>
          <w:rFonts w:ascii="Times New Roman" w:hAnsi="Times New Roman"/>
          <w:kern w:val="2"/>
          <w:sz w:val="24"/>
          <w:szCs w:val="24"/>
        </w:rPr>
        <w:t xml:space="preserve">гигиеническому нормативу ГН 2.1.7.3298-15, </w:t>
      </w:r>
      <w:r>
        <w:rPr>
          <w:rFonts w:ascii="Times New Roman" w:hAnsi="Times New Roman"/>
          <w:sz w:val="24"/>
          <w:szCs w:val="24"/>
        </w:rPr>
        <w:t>в почвах сельхозназначения на площади около 100 км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вокруг проектируемого МСЗ уже через 10 лет после начала его работы. Следствием этого ожидается:</w:t>
      </w:r>
    </w:p>
    <w:p w:rsidR="00000000" w:rsidRDefault="000058DA">
      <w:pPr>
        <w:pStyle w:val="NormalWeb"/>
        <w:spacing w:after="0"/>
        <w:ind w:firstLine="708"/>
        <w:rPr>
          <w:sz w:val="28"/>
          <w:szCs w:val="28"/>
        </w:rPr>
      </w:pPr>
      <w:r>
        <w:t xml:space="preserve">- Ущерб здоровью </w:t>
      </w:r>
      <w:r>
        <w:t xml:space="preserve">населению – </w:t>
      </w:r>
      <w:r>
        <w:rPr>
          <w:kern w:val="2"/>
        </w:rPr>
        <w:t>в результате врожденных и приобретенных заболеваний, в том числе онкологических,</w:t>
      </w:r>
      <w:r>
        <w:t xml:space="preserve"> люди будут больше болеть и меньше жить, </w:t>
      </w:r>
      <w:r>
        <w:rPr>
          <w:kern w:val="2"/>
        </w:rPr>
        <w:t> снизится рождаемость за счет врожденного бесплодия,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Размер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убытков от эксплуатации завода в виде штрафных платежей за дл</w:t>
      </w:r>
      <w:r>
        <w:rPr>
          <w:rFonts w:ascii="Times New Roman" w:hAnsi="Times New Roman"/>
          <w:sz w:val="24"/>
          <w:szCs w:val="24"/>
          <w:shd w:val="clear" w:color="auto" w:fill="FFFFFF"/>
        </w:rPr>
        <w:t>ительный период вывода  из использования загрязнённых диоксинами земель сельхозназначения, принадлежащих частным и юридическим лицам, а также из-за понижения кадастровой стоимости земель населённых пунктов может достичь триллионов рублей на один проектируе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мый МСЗ.</w:t>
      </w:r>
      <w:r>
        <w:rPr>
          <w:rFonts w:ascii="Times New Roman" w:hAnsi="Times New Roman"/>
          <w:sz w:val="24"/>
          <w:szCs w:val="24"/>
        </w:rPr>
        <w:t xml:space="preserve">  С учетом планов по строительству в МО до 15 подобных МСЗ ( см. Введение), только убытки могут превышать расходную часть бюджета всей Российской Федерации. 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00000" w:rsidRDefault="000058DA">
      <w:pPr>
        <w:pStyle w:val="NormalWeb"/>
        <w:spacing w:after="0"/>
        <w:rPr>
          <w:sz w:val="28"/>
          <w:szCs w:val="28"/>
        </w:rPr>
      </w:pPr>
      <w:r>
        <w:t>4. Ввод в строй четырех МСЗ в МО должен по оценке бывшего  министра экологии и приро</w:t>
      </w:r>
      <w:r>
        <w:t>допользования Московской области Александра Когана привести к увеличению тарифа на сбор и вывоз бытовых отходов для жителей региона Москва+МО с сегодняшних 1,5 тыс. до 10-12  тыс. руб./год за тонну с человека [9]. Указанная оценка следует из обязательств п</w:t>
      </w:r>
      <w:r>
        <w:t xml:space="preserve">равительства МО включать </w:t>
      </w:r>
      <w:r>
        <w:rPr>
          <w:kern w:val="2"/>
        </w:rPr>
        <w:t>в новые тарифы абсолютно все расходы «РТ-Инвест», хоть как-то связанные с постройкой и эксплуатацией мусоросжигательных заводов, в том числе и проценты по банковским кредитам</w:t>
      </w:r>
      <w:r>
        <w:t xml:space="preserve"> (см. Соглашение №118 между Правительством МО и АГК-1  от</w:t>
      </w:r>
      <w:r>
        <w:t xml:space="preserve"> </w:t>
      </w:r>
      <w:r>
        <w:rPr>
          <w:kern w:val="2"/>
        </w:rPr>
        <w:t xml:space="preserve"> 06.07.2017</w:t>
      </w:r>
      <w:r>
        <w:t xml:space="preserve"> п.п. 2.4.1.7). </w:t>
      </w:r>
    </w:p>
    <w:p w:rsidR="00000000" w:rsidRDefault="000058DA">
      <w:pPr>
        <w:pStyle w:val="NormalWeb"/>
        <w:spacing w:after="0"/>
      </w:pPr>
    </w:p>
    <w:p w:rsidR="00000000" w:rsidRDefault="000058DA">
      <w:pPr>
        <w:pStyle w:val="NormalWeb"/>
        <w:spacing w:after="0"/>
        <w:rPr>
          <w:sz w:val="28"/>
          <w:szCs w:val="28"/>
          <w:shd w:val="clear" w:color="auto" w:fill="FFFFFF"/>
        </w:rPr>
      </w:pPr>
      <w:r>
        <w:t>5. Доработка проекта в плане совершенствования систем очистки на МСЗ, связанная с увеличением количества ступеней очистки дымовых газов  более трех, присутствующих в проекте в данный момент, должна будет привести к еще бОльшем</w:t>
      </w:r>
      <w:r>
        <w:t xml:space="preserve">у удорожанию тарифов. Получаемое </w:t>
      </w:r>
      <w:r>
        <w:rPr>
          <w:shd w:val="clear" w:color="auto" w:fill="FFFFFF"/>
        </w:rPr>
        <w:t>несоответствие платёжной способности населения и цены услуги за переработку ТКО, в свою очередь,  приведёт к тому, что владелец завода или инвестор должны будут компенсировать убытки из-за несоответствия финансовых возможно</w:t>
      </w:r>
      <w:r>
        <w:rPr>
          <w:shd w:val="clear" w:color="auto" w:fill="FFFFFF"/>
        </w:rPr>
        <w:t>стей населения и реальных затрат при эксплуатации МСЗ. Величину убытков можно посчитать на основе реальных данных по каждому региону, где будет размещён МСЗ. В задачу экспертизы это не входит, но это несложно сделать, если принять за основу ориентировочную</w:t>
      </w:r>
      <w:r>
        <w:rPr>
          <w:shd w:val="clear" w:color="auto" w:fill="FFFFFF"/>
        </w:rPr>
        <w:t xml:space="preserve"> цену услуги около одного доллара за  один кг ТКО, что является характерной величиной для функционирования МСЗ от </w:t>
      </w:r>
      <w:r>
        <w:rPr>
          <w:lang w:val="en-US"/>
        </w:rPr>
        <w:t>Hitachi</w:t>
      </w:r>
      <w:r>
        <w:t>-</w:t>
      </w:r>
      <w:r>
        <w:rPr>
          <w:lang w:val="en-US"/>
        </w:rPr>
        <w:t>Zosen</w:t>
      </w:r>
      <w:r>
        <w:t xml:space="preserve"> </w:t>
      </w:r>
      <w:r>
        <w:rPr>
          <w:lang w:val="en-US"/>
        </w:rPr>
        <w:t>Inova</w:t>
      </w:r>
      <w:r>
        <w:t xml:space="preserve"> с полноценными и дорогими по стоимости и обслуживанию системами очистки</w:t>
      </w:r>
      <w:r>
        <w:rPr>
          <w:shd w:val="clear" w:color="auto" w:fill="FFFFFF"/>
        </w:rPr>
        <w:t>.</w:t>
      </w:r>
    </w:p>
    <w:p w:rsidR="00000000" w:rsidRDefault="000058DA">
      <w:pPr>
        <w:pStyle w:val="NormalWeb"/>
        <w:spacing w:after="0"/>
        <w:rPr>
          <w:shd w:val="clear" w:color="auto" w:fill="FFFFFF"/>
        </w:rPr>
      </w:pPr>
    </w:p>
    <w:p w:rsidR="00000000" w:rsidRDefault="000058DA">
      <w:pPr>
        <w:pStyle w:val="NormalWeb"/>
        <w:spacing w:after="0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6. </w:t>
      </w:r>
      <w:r>
        <w:t xml:space="preserve">Ввод в строй четырех МСЗ в МО </w:t>
      </w:r>
      <w:r>
        <w:rPr>
          <w:shd w:val="clear" w:color="auto" w:fill="FFFFFF"/>
        </w:rPr>
        <w:t xml:space="preserve">рождает новую  </w:t>
      </w:r>
      <w:r>
        <w:rPr>
          <w:shd w:val="clear" w:color="auto" w:fill="FFFFFF"/>
        </w:rPr>
        <w:t xml:space="preserve">серьезную экологическую проблему,  связанную с отсутствием в проекте реального решения по утилизации более 1 млн. тонн золы и шлака, ежегодно производимых  4-мя запланированными МСЗ.   </w:t>
      </w:r>
    </w:p>
    <w:p w:rsidR="00000000" w:rsidRDefault="000058DA">
      <w:pPr>
        <w:pStyle w:val="NormalWeb"/>
        <w:spacing w:after="0"/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 Попытка реализации проекта рассматриваемого МСЗ заводит Россию в 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езвыходную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ситуацию – с одной стороны  </w:t>
      </w:r>
      <w:r>
        <w:rPr>
          <w:rFonts w:ascii="Times New Roman" w:hAnsi="Times New Roman"/>
          <w:sz w:val="24"/>
          <w:szCs w:val="24"/>
        </w:rPr>
        <w:t>Россия из-за высоких капитальных и эксплуатационных затрат не сможет позволить себе строительство западных МСЗ новейших проектов, с другой – попытка реализовать упрощенные или устаревшие западные проекты  не обеспечив</w:t>
      </w:r>
      <w:r>
        <w:rPr>
          <w:rFonts w:ascii="Times New Roman" w:hAnsi="Times New Roman"/>
          <w:sz w:val="24"/>
          <w:szCs w:val="24"/>
        </w:rPr>
        <w:t>ает безопасности в первую очередь по выбросам диоксинов. Модернизация стратегической отрасли переработки отходов на основе устаревших и упрощенных для Восточной Европы и развивающихся стран технологий атмосферного сжигания ТКО является стратегической ошибк</w:t>
      </w:r>
      <w:r>
        <w:rPr>
          <w:rFonts w:ascii="Times New Roman" w:hAnsi="Times New Roman"/>
          <w:sz w:val="24"/>
          <w:szCs w:val="24"/>
        </w:rPr>
        <w:t>ой, которая может привести Россию к диоксиновой экологической катастрофе и на десятилетия блокирует развитие мусороперерабатывающей отрасли.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8. С  учётом  полученного  опыта  по  накоплению  в  России  20−30 млрд.  тонн мусора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можно без преувеличения конс</w:t>
      </w:r>
      <w:r>
        <w:rPr>
          <w:rFonts w:ascii="Times New Roman" w:hAnsi="Times New Roman"/>
          <w:sz w:val="24"/>
          <w:szCs w:val="24"/>
        </w:rPr>
        <w:t>татировать несостоятельность надежд на эффективность частного предпринимательства в этой отрасли на стадии первичных операций. По этой причине и закупки зарубежных заводов через частные фирмы дадут негативные результаты, поскольку дилерскую премию чиновник</w:t>
      </w:r>
      <w:r>
        <w:rPr>
          <w:rFonts w:ascii="Times New Roman" w:hAnsi="Times New Roman"/>
          <w:sz w:val="24"/>
          <w:szCs w:val="24"/>
        </w:rPr>
        <w:t>у-покупателю за рубежом никто не отменял. Даже если в России найдут десятки миллиардов евро, необходимых для закупки сотен зарубежных мусороперерабатывающих заводов, задача в полном объёме не будет решена. Россия вынуждена будет покупать за рубежом комплек</w:t>
      </w:r>
      <w:r>
        <w:rPr>
          <w:rFonts w:ascii="Times New Roman" w:hAnsi="Times New Roman"/>
          <w:sz w:val="24"/>
          <w:szCs w:val="24"/>
        </w:rPr>
        <w:t>тующие приборы, сорбенты и запасные изделия в течение всего периода эксплуатации этих заводов. Это технологическое рабство. Для государства это вечный сток валюты, если на той стороне ещё не добавят новых санкций в отношении России.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9.</w:t>
      </w:r>
      <w:r>
        <w:rPr>
          <w:rFonts w:ascii="Times New Roman" w:hAnsi="Times New Roman"/>
          <w:sz w:val="24"/>
          <w:szCs w:val="24"/>
        </w:rPr>
        <w:t xml:space="preserve"> Рассматриваемый про</w:t>
      </w:r>
      <w:r>
        <w:rPr>
          <w:rFonts w:ascii="Times New Roman" w:hAnsi="Times New Roman"/>
          <w:sz w:val="24"/>
          <w:szCs w:val="24"/>
        </w:rPr>
        <w:t>ект МСЗ [1] является типовым для всех 4-х МСЗ из пилотного проекта Ростеха «Чистая страна» в Московской области. Поэтому указанные выше недостатки проекта и выводы справедливы для всех указанных МСЗ.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10. В целом реализация проектов, направленных на атмосф</w:t>
      </w:r>
      <w:r>
        <w:rPr>
          <w:rFonts w:ascii="Times New Roman" w:hAnsi="Times New Roman"/>
          <w:sz w:val="24"/>
          <w:szCs w:val="24"/>
        </w:rPr>
        <w:t xml:space="preserve">ерное сжигание ТКО, противоречит </w:t>
      </w:r>
      <w:r>
        <w:rPr>
          <w:rFonts w:ascii="Times New Roman" w:hAnsi="Times New Roman"/>
          <w:kern w:val="2"/>
          <w:sz w:val="24"/>
          <w:szCs w:val="24"/>
        </w:rPr>
        <w:t>Федеральному закону 89-ФЗ «Об отходах производства и потребления», см. Статья 3 п.п.1,2.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Таким образом, представленные документы и материалы по своему объему и содержанию не соответствуют требованиям действующего законодате</w:t>
      </w:r>
      <w:r>
        <w:rPr>
          <w:rFonts w:ascii="Times New Roman" w:hAnsi="Times New Roman"/>
          <w:b/>
          <w:bCs/>
          <w:sz w:val="24"/>
          <w:szCs w:val="24"/>
        </w:rPr>
        <w:t>льства Российской Федерации в области охраны окружающей среды и нормативной базе, регламентирующей эту деятельность. Уровень воздействия намечаемой деятельности на состояние окружающей среды и здоровья населения оценен как недопустимый.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Предложения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52628"/>
          <w:sz w:val="28"/>
          <w:szCs w:val="28"/>
          <w:u w:color="252628"/>
        </w:rPr>
      </w:pPr>
      <w:r>
        <w:rPr>
          <w:rFonts w:ascii="Times New Roman" w:hAnsi="Times New Roman"/>
          <w:sz w:val="24"/>
          <w:szCs w:val="24"/>
        </w:rPr>
        <w:t>1.Приз</w:t>
      </w:r>
      <w:r>
        <w:rPr>
          <w:rFonts w:ascii="Times New Roman" w:hAnsi="Times New Roman"/>
          <w:sz w:val="24"/>
          <w:szCs w:val="24"/>
        </w:rPr>
        <w:t>нать</w:t>
      </w:r>
      <w:r>
        <w:rPr>
          <w:rFonts w:ascii="Times New Roman" w:hAnsi="Times New Roman"/>
          <w:color w:val="252628"/>
          <w:sz w:val="24"/>
          <w:szCs w:val="24"/>
          <w:u w:color="252628"/>
        </w:rPr>
        <w:t>, что деятельность по обращению с отходами в РФ осуществляется в условиях несовершенного законодательства: в ФЗ №89 «Об отходах производства и потребления» не обозначены обоснованные технологические подходы при обращении с отходами, разъяснение основны</w:t>
      </w:r>
      <w:r>
        <w:rPr>
          <w:rFonts w:ascii="Times New Roman" w:hAnsi="Times New Roman"/>
          <w:color w:val="252628"/>
          <w:sz w:val="24"/>
          <w:szCs w:val="24"/>
          <w:u w:color="252628"/>
        </w:rPr>
        <w:t>х понятий и определений не выдерживает критики и пр. Это требует внесения в закон изменений. Решение проблемы ТКО в РФ необходимо начинать с реализации этапа ресурсосбережения – с создания системы селективного сбора вторсырья, доказавшей свою работоспособн</w:t>
      </w:r>
      <w:r>
        <w:rPr>
          <w:rFonts w:ascii="Times New Roman" w:hAnsi="Times New Roman"/>
          <w:color w:val="252628"/>
          <w:sz w:val="24"/>
          <w:szCs w:val="24"/>
          <w:u w:color="252628"/>
        </w:rPr>
        <w:t>ость в масштабе многих стран.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52628"/>
          <w:sz w:val="24"/>
          <w:szCs w:val="24"/>
          <w:u w:color="252628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628"/>
          <w:sz w:val="24"/>
          <w:szCs w:val="24"/>
          <w:u w:color="252628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Признать, что закупаемые и предлагаемые к строительству МСЗ от </w:t>
      </w:r>
      <w:r>
        <w:rPr>
          <w:rFonts w:ascii="Times New Roman" w:hAnsi="Times New Roman"/>
          <w:sz w:val="24"/>
          <w:szCs w:val="24"/>
          <w:lang w:val="en-US"/>
        </w:rPr>
        <w:t>Hitachi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Zosen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INOVA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являются предприятиями: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реализующими технологии мусоросжигания середины прошлого века,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реализующими технологии, опасные с точки зрени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 экологии и вреда для здоровья населения.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требующими слишком высоких инвестиционных, капитальных и эксплуатационных затрат, которые в свою очередь неподъемно высокими тарифами лягут на плечи населения.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На этом основании - </w:t>
      </w:r>
      <w:r>
        <w:rPr>
          <w:rFonts w:ascii="Times New Roman" w:hAnsi="Times New Roman"/>
          <w:b/>
          <w:bCs/>
          <w:sz w:val="24"/>
          <w:szCs w:val="24"/>
        </w:rPr>
        <w:t>пересмотреть заключения уже пр</w:t>
      </w:r>
      <w:r>
        <w:rPr>
          <w:rFonts w:ascii="Times New Roman" w:hAnsi="Times New Roman"/>
          <w:b/>
          <w:bCs/>
          <w:sz w:val="24"/>
          <w:szCs w:val="24"/>
        </w:rPr>
        <w:t>оведенных государственных экологических экспертиз по проектам пилотных  МСЗ и на этом основании остановить строительство МСЗ в МО.</w:t>
      </w:r>
    </w:p>
    <w:p w:rsidR="00000000" w:rsidRDefault="000058DA">
      <w:pPr>
        <w:pStyle w:val="A5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3.Понимая, что для экономики РФ одной из основных задач является сохранение отечественного рынка по переработке отходов и ра</w:t>
      </w:r>
      <w:r>
        <w:rPr>
          <w:rFonts w:ascii="Times New Roman" w:hAnsi="Times New Roman"/>
          <w:kern w:val="2"/>
          <w:sz w:val="24"/>
          <w:szCs w:val="24"/>
        </w:rPr>
        <w:t>бочих мест, необходимо исключить идею закупки за рубежом устаревших и опасных для здоровья людей мусоросжигающих  технологий и заводов.</w:t>
      </w:r>
    </w:p>
    <w:p w:rsidR="00000000" w:rsidRDefault="000058DA">
      <w:pPr>
        <w:pStyle w:val="ListParagraph"/>
        <w:spacing w:after="0" w:line="240" w:lineRule="auto"/>
        <w:rPr>
          <w:sz w:val="24"/>
          <w:szCs w:val="24"/>
          <w:shd w:val="clear" w:color="auto" w:fill="FFFFFF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В связи с особой государственной значимостью проектов по утилизации ТКО провести открытый конкурс на проекты по пере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работке отходов под управлением </w:t>
      </w:r>
      <w:r>
        <w:rPr>
          <w:rFonts w:ascii="Times New Roman" w:hAnsi="Times New Roman"/>
          <w:sz w:val="24"/>
          <w:szCs w:val="24"/>
        </w:rPr>
        <w:t>вновь созданного государственного органа - Госкорпорации по переработке отходов. Необходима трезвая и объективна оценка обстановки по ТКО с привлечением максимально возможного количества независимых профессионалов отдельно о</w:t>
      </w:r>
      <w:r>
        <w:rPr>
          <w:rFonts w:ascii="Times New Roman" w:hAnsi="Times New Roman"/>
          <w:sz w:val="24"/>
          <w:szCs w:val="24"/>
        </w:rPr>
        <w:t>т чиновников.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5. Из трёх надзорных  организаций - Росприроднадзора, Роспотребнадзора  и Ростехнадзора надо хотя бы одной  дать функции финансирующей организации для выполнения НИОКР по теме утилизации ТКО, что позволит реанимировать целую отрасль  по пере</w:t>
      </w:r>
      <w:r>
        <w:rPr>
          <w:rFonts w:ascii="Times New Roman" w:hAnsi="Times New Roman"/>
          <w:kern w:val="2"/>
          <w:sz w:val="24"/>
          <w:szCs w:val="24"/>
        </w:rPr>
        <w:t>работке ТКО и избавит РФ от технологической зависимости. Это позволит использовать отечественные патенты для строительства российских мусороперерабатывающих  и сортировочных заводов в рамках средств, выделенных на покупку зарубежных МСЗ.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/>
          <w:kern w:val="2"/>
          <w:sz w:val="24"/>
          <w:szCs w:val="24"/>
        </w:rPr>
        <w:t xml:space="preserve"> Разработать о</w:t>
      </w:r>
      <w:r>
        <w:rPr>
          <w:rFonts w:ascii="Times New Roman" w:hAnsi="Times New Roman"/>
          <w:kern w:val="2"/>
          <w:sz w:val="24"/>
          <w:szCs w:val="24"/>
        </w:rPr>
        <w:t>течественные ПДК по супертоксинам для трёх сред - по воздуху, воде и земле. При этом нарушения санитарных норм по супертоксикантам должны контролировать только  санитарные  врачи  в структуре САНЭПИДЕМНАДЗОРА, которому  надо вернуть прежние функции.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t>7. Ра</w:t>
      </w:r>
      <w:r>
        <w:rPr>
          <w:rFonts w:ascii="Times New Roman" w:hAnsi="Times New Roman"/>
          <w:kern w:val="2"/>
          <w:sz w:val="24"/>
          <w:szCs w:val="24"/>
        </w:rPr>
        <w:t>зработать технологию  рекультивации земель, заражённых диоксинами,  под патронажем МинПрироды.</w:t>
      </w: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000000" w:rsidRDefault="000058D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000000" w:rsidRDefault="000058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«Завод по термическому обезвреживанию твердых коммунальных отходов  мощностью 700 тысяч тонн ТКО в год (Россия, Московская область)», ООО « Институт </w:t>
      </w:r>
      <w:r>
        <w:rPr>
          <w:rFonts w:ascii="Times New Roman" w:hAnsi="Times New Roman"/>
          <w:sz w:val="24"/>
          <w:szCs w:val="24"/>
        </w:rPr>
        <w:t>проектирования, Экологии и Гигиены», 40-18К/ПИР-ОВОС1.1 – 1.5, 2017 г.</w:t>
      </w:r>
    </w:p>
    <w:p w:rsidR="00000000" w:rsidRDefault="000058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«Завод по термическому обезвреживанию твердых коммунальных отходов  мощностью 700 тысяч тонн ТКО в год (Россия, Московская область)», ООО « Институт проектирования, Экологии и Гигиены»,</w:t>
      </w:r>
      <w:r>
        <w:rPr>
          <w:rFonts w:ascii="Times New Roman" w:hAnsi="Times New Roman"/>
          <w:sz w:val="24"/>
          <w:szCs w:val="24"/>
        </w:rPr>
        <w:t xml:space="preserve"> 40-18К/ПИР-ОВОС1.3, Приложение Ш,</w:t>
      </w:r>
    </w:p>
    <w:p w:rsidR="00000000" w:rsidRDefault="000058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А.Н Тугов, О.А Смирнов, ТБО №10, 2018г.</w:t>
      </w:r>
    </w:p>
    <w:p w:rsidR="00000000" w:rsidRDefault="000058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З. Плужникова, Н. Иванникова - Диоксины: станет ли Россия вторым Вьетнамом? - ИА REGNUM,</w:t>
      </w:r>
      <w:r>
        <w:rPr>
          <w:rFonts w:ascii="Times New Roman" w:hAnsi="Times New Roman"/>
          <w:color w:val="284464"/>
          <w:sz w:val="24"/>
          <w:szCs w:val="24"/>
          <w:u w:color="284464"/>
        </w:rPr>
        <w:t xml:space="preserve"> 12 ноября 2018, </w:t>
      </w:r>
    </w:p>
    <w:p w:rsidR="00000000" w:rsidRDefault="000058DA">
      <w:pPr>
        <w:pStyle w:val="NormalWeb"/>
        <w:numPr>
          <w:ilvl w:val="0"/>
          <w:numId w:val="2"/>
        </w:numPr>
        <w:spacing w:after="0"/>
      </w:pPr>
      <w:r>
        <w:t>«Завод по термическому обезвреживанию твердых коммунальных отходов  мощност</w:t>
      </w:r>
      <w:r>
        <w:t>ью 700 тысяч тонн ТКО в год (Россия, Московская область)», ООО « Институт проектирования, Экологии и Гигиены», 40-18К/ПИР-ОВОС1.5, Приложение 13,</w:t>
      </w:r>
    </w:p>
    <w:p w:rsidR="00000000" w:rsidRDefault="000058DA">
      <w:pPr>
        <w:pStyle w:val="NormalWeb"/>
        <w:numPr>
          <w:ilvl w:val="0"/>
          <w:numId w:val="2"/>
        </w:numPr>
        <w:spacing w:after="0"/>
      </w:pPr>
      <w:r>
        <w:lastRenderedPageBreak/>
        <w:t>http://activatica.org/blogs/view/id/6243/title/zdes-vam-ne-shveycariya-kuda-poedet-million-tonn-musornogo-pepl</w:t>
      </w:r>
      <w:r>
        <w:t>a</w:t>
      </w:r>
    </w:p>
    <w:p w:rsidR="00000000" w:rsidRDefault="000058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СПЧ при Президенте РФ по вопросам, связанным с обеспечением прав населения на охрану здоровья и благоприятную окружающую среду</w:t>
      </w:r>
    </w:p>
    <w:p w:rsidR="00000000" w:rsidRDefault="000058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http://president-sovet.ru/documents/read/573/ 10/,25.12.2018</w:t>
      </w:r>
    </w:p>
    <w:p w:rsidR="00000000" w:rsidRDefault="000058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242F33"/>
          <w:sz w:val="24"/>
          <w:szCs w:val="24"/>
        </w:rPr>
      </w:pPr>
      <w:r>
        <w:rPr>
          <w:rFonts w:ascii="Times New Roman" w:hAnsi="Times New Roman"/>
          <w:color w:val="242F33"/>
          <w:spacing w:val="2"/>
          <w:sz w:val="24"/>
          <w:szCs w:val="24"/>
          <w:u w:color="242F33"/>
          <w:shd w:val="clear" w:color="auto" w:fill="FFFFFF"/>
        </w:rPr>
        <w:t>Мазурин И.М., Понуровская В.В., «</w:t>
      </w:r>
      <w:r>
        <w:rPr>
          <w:rFonts w:ascii="Times New Roman" w:hAnsi="Times New Roman"/>
          <w:color w:val="242F33"/>
          <w:spacing w:val="2"/>
          <w:kern w:val="2"/>
          <w:sz w:val="24"/>
          <w:szCs w:val="24"/>
          <w:u w:color="242F33"/>
        </w:rPr>
        <w:t>Сжигание мусора несовмести</w:t>
      </w:r>
      <w:r>
        <w:rPr>
          <w:rFonts w:ascii="Times New Roman" w:hAnsi="Times New Roman"/>
          <w:color w:val="242F33"/>
          <w:spacing w:val="2"/>
          <w:kern w:val="2"/>
          <w:sz w:val="24"/>
          <w:szCs w:val="24"/>
          <w:u w:color="242F33"/>
        </w:rPr>
        <w:t>мо с концепцией устойчивого развития»</w:t>
      </w:r>
      <w:r>
        <w:rPr>
          <w:rFonts w:ascii="Times New Roman" w:hAnsi="Times New Roman"/>
          <w:color w:val="242F33"/>
          <w:spacing w:val="2"/>
          <w:sz w:val="24"/>
          <w:szCs w:val="24"/>
          <w:u w:color="242F33"/>
          <w:shd w:val="clear" w:color="auto" w:fill="FFFFFF"/>
        </w:rPr>
        <w:t>,  Всероссийский междисциплинарный семинар-конференция геологического факультета МГУ «Система Планета Земля», 31 января 2017 года.</w:t>
      </w:r>
      <w:r>
        <w:rPr>
          <w:rFonts w:ascii="Times New Roman" w:hAnsi="Times New Roman"/>
          <w:color w:val="242F33"/>
          <w:spacing w:val="2"/>
          <w:kern w:val="2"/>
          <w:sz w:val="24"/>
          <w:szCs w:val="24"/>
          <w:u w:color="242F33"/>
        </w:rPr>
        <w:t>,</w:t>
      </w:r>
    </w:p>
    <w:p w:rsidR="00000000" w:rsidRDefault="000058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Газета Коммерсантъ № 81 (5831) от 12.05.2016</w:t>
      </w:r>
    </w:p>
    <w:p w:rsidR="00000000" w:rsidRDefault="000058DA">
      <w:pPr>
        <w:pStyle w:val="NormalWeb"/>
        <w:spacing w:after="0"/>
        <w:ind w:left="568"/>
      </w:pPr>
    </w:p>
    <w:p w:rsidR="00000000" w:rsidRDefault="000058DA">
      <w:pPr>
        <w:pStyle w:val="NormalWeb"/>
        <w:spacing w:after="0"/>
        <w:ind w:left="568"/>
        <w:rPr>
          <w:b/>
          <w:bCs/>
          <w:sz w:val="28"/>
          <w:szCs w:val="28"/>
        </w:rPr>
      </w:pPr>
      <w:r>
        <w:rPr>
          <w:b/>
          <w:bCs/>
        </w:rPr>
        <w:t xml:space="preserve">  Подписи:</w:t>
      </w:r>
    </w:p>
    <w:p w:rsidR="00000000" w:rsidRDefault="000058DA">
      <w:pPr>
        <w:pStyle w:val="A5"/>
        <w:spacing w:after="0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Мазурин И. М.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Сосновц</w:t>
      </w:r>
      <w:r>
        <w:rPr>
          <w:rFonts w:ascii="Times New Roman" w:eastAsia="Times New Roman" w:hAnsi="Times New Roman" w:cs="Times New Roman"/>
          <w:sz w:val="24"/>
          <w:szCs w:val="24"/>
        </w:rPr>
        <w:t>ев В</w:t>
      </w:r>
      <w:r>
        <w:rPr>
          <w:rFonts w:ascii="Times New Roman" w:hAnsi="Times New Roman"/>
          <w:sz w:val="24"/>
          <w:szCs w:val="24"/>
        </w:rPr>
        <w:t>.В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Ямщикова  В</w:t>
      </w:r>
      <w:r>
        <w:rPr>
          <w:rFonts w:ascii="Times New Roman" w:hAnsi="Times New Roman"/>
          <w:sz w:val="24"/>
          <w:szCs w:val="24"/>
        </w:rPr>
        <w:t>. Н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Порохов М</w:t>
      </w:r>
      <w:r>
        <w:rPr>
          <w:rFonts w:ascii="Times New Roman" w:hAnsi="Times New Roman"/>
          <w:sz w:val="24"/>
          <w:szCs w:val="24"/>
        </w:rPr>
        <w:t>.  А.</w:t>
      </w:r>
    </w:p>
    <w:p w:rsidR="00000000" w:rsidRDefault="000058DA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Бабичева  А</w:t>
      </w:r>
      <w:r>
        <w:rPr>
          <w:rFonts w:ascii="Times New Roman" w:hAnsi="Times New Roman"/>
          <w:sz w:val="24"/>
          <w:szCs w:val="24"/>
        </w:rPr>
        <w:t xml:space="preserve">.С. </w:t>
      </w:r>
    </w:p>
    <w:p w:rsidR="000058DA" w:rsidRDefault="000058DA">
      <w:pPr>
        <w:pStyle w:val="A5"/>
        <w:spacing w:after="0"/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Гарапов   А.  Ф. </w:t>
      </w:r>
    </w:p>
    <w:sectPr w:rsidR="000058DA">
      <w:headerReference w:type="default" r:id="rId8"/>
      <w:footerReference w:type="default" r:id="rId9"/>
      <w:pgSz w:w="11900" w:h="16840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DA" w:rsidRDefault="000058DA">
      <w:r>
        <w:separator/>
      </w:r>
    </w:p>
  </w:endnote>
  <w:endnote w:type="continuationSeparator" w:id="0">
    <w:p w:rsidR="000058DA" w:rsidRDefault="0000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58DA">
    <w:pPr>
      <w:pStyle w:val="Footer"/>
      <w:tabs>
        <w:tab w:val="clear" w:pos="9355"/>
        <w:tab w:val="right" w:pos="9329"/>
      </w:tabs>
      <w:rPr>
        <w:rFonts w:ascii="Times New Roman" w:eastAsia="Arial Unicode MS" w:hAnsi="Times New Roman" w:cs="Times New Roman"/>
        <w:color w:val="auto"/>
        <w:sz w:val="20"/>
        <w:szCs w:val="20"/>
        <w:lang/>
      </w:rPr>
    </w:pPr>
    <w:r>
      <w:fldChar w:fldCharType="begin"/>
    </w:r>
    <w:r>
      <w:instrText xml:space="preserve"> PAGE </w:instrText>
    </w:r>
    <w:r>
      <w:fldChar w:fldCharType="separate"/>
    </w:r>
    <w:r w:rsidR="009826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DA" w:rsidRDefault="000058DA">
      <w:r>
        <w:separator/>
      </w:r>
    </w:p>
  </w:footnote>
  <w:footnote w:type="continuationSeparator" w:id="0">
    <w:p w:rsidR="000058DA" w:rsidRDefault="0000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58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894EE873"/>
    <w:numStyleLink w:val="1"/>
  </w:abstractNum>
  <w:abstractNum w:abstractNumId="1">
    <w:nsid w:val="00000001"/>
    <w:multiLevelType w:val="hybridMultilevel"/>
    <w:tmpl w:val="894EE873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96"/>
    <w:rsid w:val="000058DA"/>
    <w:rsid w:val="009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character" w:default="1" w:styleId="a0">
    <w:name w:val="Default Paragraph Font"/>
    <w:autoRedefine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u w:val="single"/>
    </w:rPr>
  </w:style>
  <w:style w:type="paragraph" w:customStyle="1" w:styleId="a4">
    <w:name w:val="Колонтитул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oter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ormalWeb">
    <w:name w:val="Normal (Web)"/>
    <w:pPr>
      <w:spacing w:after="20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character" w:default="1" w:styleId="a0">
    <w:name w:val="Default Paragraph Font"/>
    <w:autoRedefine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u w:val="single"/>
    </w:rPr>
  </w:style>
  <w:style w:type="paragraph" w:customStyle="1" w:styleId="a4">
    <w:name w:val="Колонтитул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oter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Текстовый блок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ormalWeb">
    <w:name w:val="Normal (Web)"/>
    <w:pPr>
      <w:spacing w:after="20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Tamarovich</dc:creator>
  <cp:lastModifiedBy>Tamarovich</cp:lastModifiedBy>
  <cp:revision>2</cp:revision>
  <dcterms:created xsi:type="dcterms:W3CDTF">2020-01-28T12:19:00Z</dcterms:created>
  <dcterms:modified xsi:type="dcterms:W3CDTF">2020-01-28T12:19:00Z</dcterms:modified>
</cp:coreProperties>
</file>